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0" w:type="dxa"/>
        <w:tblLayout w:type="fixed"/>
        <w:tblCellMar>
          <w:left w:w="70" w:type="dxa"/>
          <w:right w:w="70" w:type="dxa"/>
        </w:tblCellMar>
        <w:tblLook w:val="0000" w:firstRow="0" w:lastRow="0" w:firstColumn="0" w:lastColumn="0" w:noHBand="0" w:noVBand="0"/>
      </w:tblPr>
      <w:tblGrid>
        <w:gridCol w:w="3402"/>
        <w:gridCol w:w="2828"/>
        <w:gridCol w:w="3551"/>
      </w:tblGrid>
      <w:tr w:rsidR="001C46FA">
        <w:tc>
          <w:tcPr>
            <w:tcW w:w="6230" w:type="dxa"/>
            <w:gridSpan w:val="2"/>
          </w:tcPr>
          <w:p w:rsidR="001C46FA" w:rsidRPr="00D17AAB" w:rsidRDefault="009D20A3" w:rsidP="00D465F4">
            <w:pPr>
              <w:pStyle w:val="Enhetavdelning"/>
              <w:rPr>
                <w:b/>
              </w:rPr>
            </w:pPr>
            <w:r>
              <w:rPr>
                <w:b/>
                <w:noProof/>
              </w:rPr>
              <w:drawing>
                <wp:inline distT="0" distB="0" distL="0" distR="0">
                  <wp:extent cx="1153160" cy="634365"/>
                  <wp:effectExtent l="0" t="0" r="0" b="0"/>
                  <wp:docPr id="1" name="Bild 1" descr="svart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art logg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3160" cy="634365"/>
                          </a:xfrm>
                          <a:prstGeom prst="rect">
                            <a:avLst/>
                          </a:prstGeom>
                          <a:noFill/>
                          <a:ln>
                            <a:noFill/>
                          </a:ln>
                        </pic:spPr>
                      </pic:pic>
                    </a:graphicData>
                  </a:graphic>
                </wp:inline>
              </w:drawing>
            </w:r>
          </w:p>
        </w:tc>
        <w:tc>
          <w:tcPr>
            <w:tcW w:w="3551" w:type="dxa"/>
            <w:tcBorders>
              <w:left w:val="nil"/>
            </w:tcBorders>
          </w:tcPr>
          <w:p w:rsidR="001C46FA" w:rsidRPr="00EA4663" w:rsidRDefault="00517070" w:rsidP="00D465F4">
            <w:pPr>
              <w:pStyle w:val="Arial14F"/>
              <w:rPr>
                <w:rFonts w:cs="Arial"/>
              </w:rPr>
            </w:pPr>
            <w:r>
              <w:rPr>
                <w:rFonts w:cs="Arial"/>
              </w:rPr>
              <w:t>Fördelning enligt AM</w:t>
            </w:r>
            <w:r w:rsidR="001C46FA">
              <w:rPr>
                <w:rFonts w:cs="Arial"/>
              </w:rPr>
              <w:t>L</w:t>
            </w:r>
          </w:p>
          <w:bookmarkStart w:id="0" w:name="Text7"/>
          <w:p w:rsidR="001C46FA" w:rsidRPr="00CD2C1C" w:rsidRDefault="00D65578" w:rsidP="00D465F4">
            <w:pPr>
              <w:pStyle w:val="Enhetavdelning"/>
            </w:pPr>
            <w:r>
              <w:rPr>
                <w:rFonts w:cs="Times New Roman"/>
                <w:b/>
                <w:sz w:val="24"/>
              </w:rPr>
              <w:fldChar w:fldCharType="begin">
                <w:ffData>
                  <w:name w:val="Text7"/>
                  <w:enabled/>
                  <w:calcOnExit w:val="0"/>
                  <w:textInput>
                    <w:default w:val="Ange förvaltning"/>
                  </w:textInput>
                </w:ffData>
              </w:fldChar>
            </w:r>
            <w:r>
              <w:rPr>
                <w:rFonts w:cs="Times New Roman"/>
                <w:b/>
                <w:sz w:val="24"/>
              </w:rPr>
              <w:instrText xml:space="preserve"> FORMTEXT </w:instrText>
            </w:r>
            <w:r>
              <w:rPr>
                <w:rFonts w:cs="Times New Roman"/>
                <w:b/>
                <w:sz w:val="24"/>
              </w:rPr>
            </w:r>
            <w:r>
              <w:rPr>
                <w:rFonts w:cs="Times New Roman"/>
                <w:b/>
                <w:sz w:val="24"/>
              </w:rPr>
              <w:fldChar w:fldCharType="separate"/>
            </w:r>
            <w:bookmarkStart w:id="1" w:name="_GoBack"/>
            <w:r>
              <w:rPr>
                <w:rFonts w:cs="Times New Roman"/>
                <w:b/>
                <w:noProof/>
                <w:sz w:val="24"/>
              </w:rPr>
              <w:t>Ange förvaltning</w:t>
            </w:r>
            <w:bookmarkEnd w:id="1"/>
            <w:r>
              <w:rPr>
                <w:rFonts w:cs="Times New Roman"/>
                <w:b/>
                <w:sz w:val="24"/>
              </w:rPr>
              <w:fldChar w:fldCharType="end"/>
            </w:r>
            <w:bookmarkEnd w:id="0"/>
          </w:p>
        </w:tc>
      </w:tr>
      <w:tr w:rsidR="001C46FA" w:rsidRPr="00CD2C1C" w:rsidTr="00517070">
        <w:trPr>
          <w:trHeight w:val="155"/>
        </w:trPr>
        <w:tc>
          <w:tcPr>
            <w:tcW w:w="3402" w:type="dxa"/>
          </w:tcPr>
          <w:p w:rsidR="001C46FA" w:rsidRPr="00CD2C1C" w:rsidRDefault="001C46FA" w:rsidP="00A13730">
            <w:pPr>
              <w:rPr>
                <w:rFonts w:ascii="Arial" w:hAnsi="Arial"/>
                <w:noProof/>
                <w:sz w:val="16"/>
                <w:szCs w:val="16"/>
              </w:rPr>
            </w:pPr>
          </w:p>
        </w:tc>
        <w:tc>
          <w:tcPr>
            <w:tcW w:w="6379" w:type="dxa"/>
            <w:gridSpan w:val="2"/>
          </w:tcPr>
          <w:p w:rsidR="001C46FA" w:rsidRPr="00CD2C1C" w:rsidRDefault="001C46FA" w:rsidP="00A13730">
            <w:pPr>
              <w:pStyle w:val="Rubrik9"/>
              <w:jc w:val="left"/>
              <w:rPr>
                <w:sz w:val="16"/>
                <w:szCs w:val="16"/>
              </w:rPr>
            </w:pPr>
          </w:p>
        </w:tc>
      </w:tr>
      <w:tr w:rsidR="001C46FA" w:rsidTr="00517070">
        <w:trPr>
          <w:cantSplit/>
          <w:trHeight w:val="648"/>
        </w:trPr>
        <w:tc>
          <w:tcPr>
            <w:tcW w:w="3402" w:type="dxa"/>
            <w:tcBorders>
              <w:bottom w:val="nil"/>
            </w:tcBorders>
          </w:tcPr>
          <w:p w:rsidR="001C46FA" w:rsidRDefault="001C46FA" w:rsidP="00A13730">
            <w:pPr>
              <w:rPr>
                <w:noProof/>
              </w:rPr>
            </w:pPr>
          </w:p>
        </w:tc>
        <w:tc>
          <w:tcPr>
            <w:tcW w:w="6379" w:type="dxa"/>
            <w:gridSpan w:val="2"/>
            <w:tcBorders>
              <w:bottom w:val="nil"/>
            </w:tcBorders>
          </w:tcPr>
          <w:p w:rsidR="001C46FA" w:rsidRPr="001C46FA" w:rsidRDefault="00517070" w:rsidP="00A13730">
            <w:pPr>
              <w:pStyle w:val="Arial14F"/>
            </w:pPr>
            <w:r>
              <w:t>Fördelning</w:t>
            </w:r>
            <w:r w:rsidR="001C46FA">
              <w:t xml:space="preserve"> av arbetsmiljöuppgifter</w:t>
            </w:r>
          </w:p>
          <w:p w:rsidR="001C46FA" w:rsidRPr="001C46FA" w:rsidRDefault="00517070" w:rsidP="00517070">
            <w:pPr>
              <w:rPr>
                <w:rFonts w:ascii="Arial" w:hAnsi="Arial" w:cs="Arial"/>
                <w:b/>
              </w:rPr>
            </w:pPr>
            <w:r>
              <w:rPr>
                <w:rFonts w:ascii="Arial" w:hAnsi="Arial" w:cs="Arial"/>
                <w:b/>
              </w:rPr>
              <w:t>från verksamhetschef/förvaltningschef till e</w:t>
            </w:r>
            <w:r w:rsidR="001C46FA" w:rsidRPr="001C46FA">
              <w:rPr>
                <w:rFonts w:ascii="Arial" w:hAnsi="Arial" w:cs="Arial"/>
                <w:b/>
              </w:rPr>
              <w:t>nhetschef</w:t>
            </w:r>
          </w:p>
        </w:tc>
      </w:tr>
      <w:tr w:rsidR="001C46FA" w:rsidTr="00517070">
        <w:tc>
          <w:tcPr>
            <w:tcW w:w="3402" w:type="dxa"/>
          </w:tcPr>
          <w:p w:rsidR="001C46FA" w:rsidRDefault="001C46FA" w:rsidP="00A13730">
            <w:pPr>
              <w:rPr>
                <w:rFonts w:ascii="Arial" w:hAnsi="Arial"/>
                <w:noProof/>
              </w:rPr>
            </w:pPr>
          </w:p>
        </w:tc>
        <w:tc>
          <w:tcPr>
            <w:tcW w:w="6379" w:type="dxa"/>
            <w:gridSpan w:val="2"/>
          </w:tcPr>
          <w:p w:rsidR="001C46FA" w:rsidRPr="00D17AAB" w:rsidRDefault="001C46FA" w:rsidP="00A13730">
            <w:pPr>
              <w:pStyle w:val="Enhetavdelning"/>
              <w:rPr>
                <w:sz w:val="16"/>
                <w:szCs w:val="16"/>
              </w:rPr>
            </w:pPr>
            <w:r w:rsidRPr="00EA4663">
              <w:rPr>
                <w:rStyle w:val="Sidnummer"/>
              </w:rPr>
              <w:t xml:space="preserve">Sida </w:t>
            </w:r>
            <w:r w:rsidRPr="00EA4663">
              <w:rPr>
                <w:rStyle w:val="Sidnummer"/>
              </w:rPr>
              <w:fldChar w:fldCharType="begin"/>
            </w:r>
            <w:r w:rsidRPr="00EA4663">
              <w:rPr>
                <w:rStyle w:val="Sidnummer"/>
              </w:rPr>
              <w:instrText xml:space="preserve"> PAGE </w:instrText>
            </w:r>
            <w:r w:rsidRPr="00EA4663">
              <w:rPr>
                <w:rStyle w:val="Sidnummer"/>
              </w:rPr>
              <w:fldChar w:fldCharType="separate"/>
            </w:r>
            <w:r>
              <w:rPr>
                <w:rStyle w:val="Sidnummer"/>
                <w:noProof/>
              </w:rPr>
              <w:t>1</w:t>
            </w:r>
            <w:r w:rsidRPr="00EA4663">
              <w:rPr>
                <w:rStyle w:val="Sidnummer"/>
              </w:rPr>
              <w:fldChar w:fldCharType="end"/>
            </w:r>
            <w:r w:rsidRPr="00EA4663">
              <w:rPr>
                <w:rStyle w:val="Sidnummer"/>
              </w:rPr>
              <w:t xml:space="preserve"> (</w:t>
            </w:r>
            <w:r>
              <w:rPr>
                <w:rStyle w:val="Sidnummer"/>
              </w:rPr>
              <w:t>2</w:t>
            </w:r>
            <w:r w:rsidRPr="00EA4663">
              <w:rPr>
                <w:rStyle w:val="Sidnummer"/>
              </w:rPr>
              <w:t>)</w:t>
            </w:r>
          </w:p>
        </w:tc>
      </w:tr>
    </w:tbl>
    <w:p w:rsidR="00450DC6" w:rsidRPr="001C46FA" w:rsidRDefault="00450DC6" w:rsidP="00A13730">
      <w:pPr>
        <w:rPr>
          <w:rFonts w:ascii="Arial" w:hAnsi="Arial" w:cs="Arial"/>
          <w:sz w:val="20"/>
          <w:szCs w:val="20"/>
        </w:rPr>
      </w:pPr>
    </w:p>
    <w:p w:rsidR="00517070" w:rsidRPr="009D20A3" w:rsidRDefault="00517070" w:rsidP="00D465F4">
      <w:pPr>
        <w:pStyle w:val="Brdtext"/>
        <w:rPr>
          <w:rFonts w:cs="Arial"/>
          <w:sz w:val="20"/>
        </w:rPr>
      </w:pPr>
      <w:r w:rsidRPr="009D20A3">
        <w:rPr>
          <w:rFonts w:cs="Arial"/>
          <w:sz w:val="20"/>
        </w:rPr>
        <w:t>Enligt arbetsmiljölagen är arbetsgivaren (respektive nämnd) huvudansvarig för arbetsmiljön och förhållandena på arbetsplatsen. Arbetsgivaren ska vidta alla åtgärder som behövs för att förebygga att den anställde utsätts för ohälsa eller olycksfall i arbetet.</w:t>
      </w:r>
    </w:p>
    <w:p w:rsidR="00517070" w:rsidRPr="009D20A3" w:rsidRDefault="00517070" w:rsidP="00517070">
      <w:pPr>
        <w:jc w:val="both"/>
        <w:rPr>
          <w:rFonts w:ascii="Arial" w:hAnsi="Arial" w:cs="Arial"/>
          <w:sz w:val="20"/>
          <w:szCs w:val="20"/>
        </w:rPr>
      </w:pPr>
    </w:p>
    <w:p w:rsidR="00517070" w:rsidRPr="009D20A3" w:rsidRDefault="00517070" w:rsidP="00517070">
      <w:pPr>
        <w:jc w:val="both"/>
        <w:rPr>
          <w:rFonts w:ascii="Arial" w:hAnsi="Arial" w:cs="Arial"/>
          <w:sz w:val="20"/>
          <w:szCs w:val="20"/>
        </w:rPr>
      </w:pPr>
      <w:r w:rsidRPr="009D20A3">
        <w:rPr>
          <w:rFonts w:ascii="Arial" w:hAnsi="Arial" w:cs="Arial"/>
          <w:sz w:val="20"/>
          <w:szCs w:val="20"/>
        </w:rPr>
        <w:t>Arbetsmiljöfrågorna ska behandlas i direkt anslutning till den vardagliga verksamheten inom respektive enhet.</w:t>
      </w:r>
    </w:p>
    <w:p w:rsidR="00517070" w:rsidRPr="009D20A3" w:rsidRDefault="00517070" w:rsidP="00517070">
      <w:pPr>
        <w:jc w:val="both"/>
        <w:rPr>
          <w:rFonts w:ascii="Arial" w:hAnsi="Arial" w:cs="Arial"/>
          <w:sz w:val="20"/>
          <w:szCs w:val="20"/>
        </w:rPr>
      </w:pPr>
    </w:p>
    <w:p w:rsidR="00517070" w:rsidRPr="009D20A3" w:rsidRDefault="00517070" w:rsidP="00517070">
      <w:pPr>
        <w:jc w:val="both"/>
        <w:rPr>
          <w:rFonts w:ascii="Arial" w:hAnsi="Arial" w:cs="Arial"/>
          <w:sz w:val="20"/>
          <w:szCs w:val="20"/>
        </w:rPr>
      </w:pPr>
      <w:r w:rsidRPr="009D20A3">
        <w:rPr>
          <w:rFonts w:ascii="Arial" w:hAnsi="Arial" w:cs="Arial"/>
          <w:sz w:val="20"/>
          <w:szCs w:val="20"/>
        </w:rPr>
        <w:t>Arbetsgivaren har det juridiska ansvaret för att arbetsmiljöarbetet genomförs men uppgifter för att utföra de olika aktiviteterna kan och ska fördelas i organisationen. Det är alltså uppgifter som fördelas och inte det juridiska ansvaret.</w:t>
      </w:r>
    </w:p>
    <w:p w:rsidR="00517070" w:rsidRPr="009D20A3" w:rsidRDefault="00517070" w:rsidP="00517070">
      <w:pPr>
        <w:jc w:val="both"/>
        <w:rPr>
          <w:rFonts w:ascii="Arial" w:hAnsi="Arial" w:cs="Arial"/>
          <w:sz w:val="20"/>
          <w:szCs w:val="20"/>
        </w:rPr>
      </w:pPr>
    </w:p>
    <w:p w:rsidR="00517070" w:rsidRPr="009D20A3" w:rsidRDefault="00B11F57" w:rsidP="00517070">
      <w:pPr>
        <w:jc w:val="both"/>
        <w:rPr>
          <w:rFonts w:ascii="Arial" w:hAnsi="Arial" w:cs="Arial"/>
          <w:sz w:val="20"/>
          <w:szCs w:val="20"/>
        </w:rPr>
      </w:pPr>
      <w:r w:rsidRPr="009D20A3">
        <w:rPr>
          <w:rFonts w:ascii="Arial" w:hAnsi="Arial" w:cs="Arial"/>
          <w:sz w:val="20"/>
          <w:szCs w:val="20"/>
        </w:rPr>
        <w:t>De som ska utföra arbetsmiljöuppgifter ska ha tillräckliga befogenheter och resurser samt den kompetens som krävs för att kunna utföra uppgifterna.</w:t>
      </w:r>
      <w:r w:rsidR="00517070" w:rsidRPr="009D20A3">
        <w:rPr>
          <w:rFonts w:ascii="Arial" w:hAnsi="Arial" w:cs="Arial"/>
          <w:sz w:val="20"/>
          <w:szCs w:val="20"/>
        </w:rPr>
        <w:t xml:space="preserve"> Med befogenheter menas rätt att fatta beslut och vidta åtgärder. Med resurser menas kunskaper, ekonomiska medel, tillgång till personal, utrustning, lokaler och tid.</w:t>
      </w:r>
    </w:p>
    <w:p w:rsidR="00517070" w:rsidRPr="009D20A3" w:rsidRDefault="00517070" w:rsidP="00517070">
      <w:pPr>
        <w:jc w:val="both"/>
        <w:rPr>
          <w:rFonts w:ascii="Arial" w:hAnsi="Arial" w:cs="Arial"/>
          <w:sz w:val="20"/>
          <w:szCs w:val="20"/>
        </w:rPr>
      </w:pPr>
    </w:p>
    <w:p w:rsidR="00517070" w:rsidRPr="009D20A3" w:rsidRDefault="00517070" w:rsidP="00517070">
      <w:pPr>
        <w:jc w:val="both"/>
        <w:rPr>
          <w:rFonts w:ascii="Arial" w:hAnsi="Arial" w:cs="Arial"/>
          <w:sz w:val="20"/>
          <w:szCs w:val="20"/>
        </w:rPr>
      </w:pPr>
      <w:r w:rsidRPr="009D20A3">
        <w:rPr>
          <w:rFonts w:ascii="Arial" w:hAnsi="Arial" w:cs="Arial"/>
          <w:sz w:val="20"/>
          <w:szCs w:val="20"/>
        </w:rPr>
        <w:t>I egenskap av enhetschef har de arbetsmiljöuppgifter inom ditt ansvarsområde som följer av arbetsmiljölagen fördelats till dig. Som enhetschef ska du ha grundläggande kunskaper om lagar och avtal inom ämnesområdet.</w:t>
      </w:r>
    </w:p>
    <w:p w:rsidR="00450DC6" w:rsidRPr="009D20A3" w:rsidRDefault="00450DC6" w:rsidP="00A13730">
      <w:pPr>
        <w:rPr>
          <w:rFonts w:ascii="Arial" w:hAnsi="Arial" w:cs="Arial"/>
          <w:b/>
          <w:sz w:val="20"/>
          <w:szCs w:val="20"/>
        </w:rPr>
      </w:pPr>
    </w:p>
    <w:p w:rsidR="00DD5486" w:rsidRPr="009D20A3" w:rsidRDefault="00DD5486" w:rsidP="00A13730">
      <w:pPr>
        <w:rPr>
          <w:rFonts w:ascii="Arial" w:hAnsi="Arial" w:cs="Arial"/>
          <w:b/>
          <w:sz w:val="20"/>
          <w:szCs w:val="20"/>
        </w:rPr>
      </w:pPr>
    </w:p>
    <w:p w:rsidR="00517070" w:rsidRPr="009D20A3" w:rsidRDefault="00517070" w:rsidP="00A13730">
      <w:pPr>
        <w:rPr>
          <w:rFonts w:ascii="Arial" w:hAnsi="Arial" w:cs="Arial"/>
          <w:b/>
          <w:sz w:val="20"/>
          <w:szCs w:val="20"/>
        </w:rPr>
      </w:pPr>
      <w:r w:rsidRPr="009D20A3">
        <w:rPr>
          <w:rFonts w:ascii="Arial" w:hAnsi="Arial" w:cs="Arial"/>
          <w:b/>
          <w:sz w:val="20"/>
          <w:szCs w:val="20"/>
        </w:rPr>
        <w:t>Enhetschefen ska</w:t>
      </w:r>
    </w:p>
    <w:p w:rsidR="00517070" w:rsidRPr="009D20A3" w:rsidRDefault="00517070" w:rsidP="00A13730">
      <w:pPr>
        <w:rPr>
          <w:rFonts w:ascii="Arial" w:hAnsi="Arial" w:cs="Arial"/>
          <w:b/>
          <w:sz w:val="20"/>
          <w:szCs w:val="20"/>
        </w:rPr>
      </w:pPr>
    </w:p>
    <w:p w:rsidR="00DD5486" w:rsidRPr="009D20A3" w:rsidRDefault="00DD5486" w:rsidP="008807C6">
      <w:pPr>
        <w:pStyle w:val="Brdtext"/>
        <w:numPr>
          <w:ilvl w:val="0"/>
          <w:numId w:val="4"/>
        </w:numPr>
        <w:rPr>
          <w:rFonts w:cs="Arial"/>
          <w:sz w:val="20"/>
        </w:rPr>
      </w:pPr>
      <w:r w:rsidRPr="009D20A3">
        <w:rPr>
          <w:rFonts w:cs="Arial"/>
          <w:sz w:val="20"/>
        </w:rPr>
        <w:t>Säkerställa att gällande lagar och föreskrifter från Arbetsmiljöverket, kommunens arbetsmiljöpolicy samt interna rutiner följs.</w:t>
      </w:r>
    </w:p>
    <w:p w:rsidR="00DD5486" w:rsidRPr="009D20A3" w:rsidRDefault="00DD5486" w:rsidP="009D20A3">
      <w:pPr>
        <w:pStyle w:val="Brdtext"/>
        <w:rPr>
          <w:rFonts w:cs="Arial"/>
          <w:sz w:val="20"/>
        </w:rPr>
      </w:pPr>
    </w:p>
    <w:p w:rsidR="00DD5486" w:rsidRPr="009D20A3" w:rsidRDefault="00DD5486" w:rsidP="008807C6">
      <w:pPr>
        <w:pStyle w:val="Brdtext"/>
        <w:numPr>
          <w:ilvl w:val="0"/>
          <w:numId w:val="4"/>
        </w:numPr>
        <w:rPr>
          <w:rFonts w:cs="Arial"/>
          <w:sz w:val="20"/>
        </w:rPr>
      </w:pPr>
      <w:r w:rsidRPr="009D20A3">
        <w:rPr>
          <w:rFonts w:cs="Arial"/>
          <w:sz w:val="20"/>
        </w:rPr>
        <w:t xml:space="preserve">Regelbundet genomföra </w:t>
      </w:r>
      <w:r w:rsidR="00CB4663" w:rsidRPr="009D20A3">
        <w:rPr>
          <w:rFonts w:cs="Arial"/>
          <w:sz w:val="20"/>
        </w:rPr>
        <w:t>undersökningar av den organisatoriska, sociala och fysiska arbetsmiljön exempelvis genom skyddsronder, enkäter/intervjuer, medarbetarsamtal och daglig dialog.</w:t>
      </w:r>
    </w:p>
    <w:p w:rsidR="00CB4663" w:rsidRPr="009D20A3" w:rsidRDefault="00CB4663" w:rsidP="009D20A3">
      <w:pPr>
        <w:pStyle w:val="Brdtext"/>
        <w:rPr>
          <w:rFonts w:cs="Arial"/>
          <w:sz w:val="20"/>
        </w:rPr>
      </w:pPr>
    </w:p>
    <w:p w:rsidR="00CB4663" w:rsidRPr="009D20A3" w:rsidRDefault="008B2A34" w:rsidP="008807C6">
      <w:pPr>
        <w:pStyle w:val="Brdtext"/>
        <w:numPr>
          <w:ilvl w:val="0"/>
          <w:numId w:val="4"/>
        </w:numPr>
        <w:rPr>
          <w:rFonts w:cs="Arial"/>
          <w:sz w:val="20"/>
        </w:rPr>
      </w:pPr>
      <w:r w:rsidRPr="009D20A3">
        <w:rPr>
          <w:rFonts w:cs="Arial"/>
          <w:sz w:val="20"/>
        </w:rPr>
        <w:t>Fortlöpande g</w:t>
      </w:r>
      <w:r w:rsidR="00CB4663" w:rsidRPr="009D20A3">
        <w:rPr>
          <w:rFonts w:cs="Arial"/>
          <w:sz w:val="20"/>
        </w:rPr>
        <w:t xml:space="preserve">enomföra riskbedömningar </w:t>
      </w:r>
      <w:r w:rsidRPr="009D20A3">
        <w:rPr>
          <w:rFonts w:cs="Arial"/>
          <w:sz w:val="20"/>
        </w:rPr>
        <w:t>av arbetsmiljön på enheten. Riskbedömning ska även göras vid förändringar i verksamheten.</w:t>
      </w:r>
    </w:p>
    <w:p w:rsidR="008B2A34" w:rsidRPr="009D20A3" w:rsidRDefault="008B2A34" w:rsidP="009D20A3">
      <w:pPr>
        <w:pStyle w:val="Brdtext"/>
        <w:rPr>
          <w:rFonts w:cs="Arial"/>
          <w:sz w:val="20"/>
        </w:rPr>
      </w:pPr>
    </w:p>
    <w:p w:rsidR="008B2A34" w:rsidRPr="009D20A3" w:rsidRDefault="008B2A34" w:rsidP="008807C6">
      <w:pPr>
        <w:pStyle w:val="Brdtext"/>
        <w:numPr>
          <w:ilvl w:val="0"/>
          <w:numId w:val="4"/>
        </w:numPr>
        <w:rPr>
          <w:rFonts w:cs="Arial"/>
          <w:sz w:val="20"/>
        </w:rPr>
      </w:pPr>
      <w:r w:rsidRPr="009D20A3">
        <w:rPr>
          <w:rFonts w:cs="Arial"/>
          <w:sz w:val="20"/>
        </w:rPr>
        <w:t>Fortlöpande åtgärda brister i arbetsmiljön och föra in de risker som inte kan hanteras omgående i enhetens arbetsmiljöplan. Risker och åtgärder i arbetsmiljöplan</w:t>
      </w:r>
      <w:r w:rsidR="001D5D9B" w:rsidRPr="009D20A3">
        <w:rPr>
          <w:rFonts w:cs="Arial"/>
          <w:sz w:val="20"/>
        </w:rPr>
        <w:t>en ska kontinuerligt följas upp.</w:t>
      </w:r>
    </w:p>
    <w:p w:rsidR="008B2A34" w:rsidRPr="009D20A3" w:rsidRDefault="008B2A34" w:rsidP="009D20A3">
      <w:pPr>
        <w:pStyle w:val="Brdtext"/>
        <w:rPr>
          <w:rFonts w:cs="Arial"/>
          <w:sz w:val="20"/>
        </w:rPr>
      </w:pPr>
    </w:p>
    <w:p w:rsidR="0079085A" w:rsidRPr="009D20A3" w:rsidRDefault="0079085A" w:rsidP="008807C6">
      <w:pPr>
        <w:pStyle w:val="Brdtext"/>
        <w:numPr>
          <w:ilvl w:val="0"/>
          <w:numId w:val="4"/>
        </w:numPr>
        <w:rPr>
          <w:rFonts w:cs="Arial"/>
          <w:sz w:val="20"/>
        </w:rPr>
      </w:pPr>
      <w:r w:rsidRPr="009D20A3">
        <w:rPr>
          <w:rFonts w:cs="Arial"/>
          <w:sz w:val="20"/>
        </w:rPr>
        <w:t>Aktivt arbeta med att förebygga ohälsosam arbetsbelastning, kränkande särbehandling och motverka att arbetstidens förläggning leder till ohälsa i enlighet med föreskriften om organisatorisk och social arbetsmiljö (AFS 2015:4).</w:t>
      </w:r>
    </w:p>
    <w:p w:rsidR="0079085A" w:rsidRPr="009D20A3" w:rsidRDefault="0079085A" w:rsidP="009D20A3">
      <w:pPr>
        <w:pStyle w:val="Brdtext"/>
        <w:rPr>
          <w:rFonts w:cs="Arial"/>
          <w:sz w:val="20"/>
        </w:rPr>
      </w:pPr>
    </w:p>
    <w:p w:rsidR="001D5D9B" w:rsidRPr="009D20A3" w:rsidRDefault="001D5D9B" w:rsidP="008807C6">
      <w:pPr>
        <w:pStyle w:val="Brdtext"/>
        <w:numPr>
          <w:ilvl w:val="0"/>
          <w:numId w:val="4"/>
        </w:numPr>
        <w:rPr>
          <w:rFonts w:cs="Arial"/>
          <w:sz w:val="20"/>
        </w:rPr>
      </w:pPr>
      <w:r w:rsidRPr="009D20A3">
        <w:rPr>
          <w:rFonts w:cs="Arial"/>
          <w:sz w:val="20"/>
        </w:rPr>
        <w:t>Samverka med lokala skyddsombud i aktuella arbetsmiljöfrågor.</w:t>
      </w:r>
    </w:p>
    <w:p w:rsidR="001D5D9B" w:rsidRPr="009D20A3" w:rsidRDefault="001D5D9B" w:rsidP="009D20A3">
      <w:pPr>
        <w:pStyle w:val="Brdtext"/>
        <w:rPr>
          <w:rFonts w:cs="Arial"/>
          <w:sz w:val="20"/>
        </w:rPr>
      </w:pPr>
    </w:p>
    <w:p w:rsidR="001D5D9B" w:rsidRPr="009D20A3" w:rsidRDefault="00E30BC1" w:rsidP="008807C6">
      <w:pPr>
        <w:pStyle w:val="Brdtext"/>
        <w:numPr>
          <w:ilvl w:val="0"/>
          <w:numId w:val="4"/>
        </w:numPr>
        <w:rPr>
          <w:rFonts w:cs="Arial"/>
          <w:sz w:val="20"/>
        </w:rPr>
      </w:pPr>
      <w:r w:rsidRPr="009D20A3">
        <w:rPr>
          <w:rFonts w:cs="Arial"/>
          <w:sz w:val="20"/>
        </w:rPr>
        <w:t>Regelbundet diskutera arbetsmiljöfrågor vid arbetsplatsträffar för att därigenom stimulera intresset för arbetsmiljöfrågor bland medarbetarna.</w:t>
      </w:r>
    </w:p>
    <w:p w:rsidR="00E30BC1" w:rsidRPr="009D20A3" w:rsidRDefault="00E30BC1" w:rsidP="009D20A3">
      <w:pPr>
        <w:pStyle w:val="Brdtext"/>
        <w:rPr>
          <w:rFonts w:cs="Arial"/>
          <w:sz w:val="20"/>
        </w:rPr>
      </w:pPr>
    </w:p>
    <w:p w:rsidR="001D5D9B" w:rsidRPr="009D20A3" w:rsidRDefault="001D5D9B" w:rsidP="008807C6">
      <w:pPr>
        <w:pStyle w:val="Brdtext"/>
        <w:numPr>
          <w:ilvl w:val="0"/>
          <w:numId w:val="4"/>
        </w:numPr>
        <w:rPr>
          <w:rFonts w:cs="Arial"/>
          <w:sz w:val="20"/>
        </w:rPr>
      </w:pPr>
      <w:r w:rsidRPr="009D20A3">
        <w:rPr>
          <w:rFonts w:cs="Arial"/>
          <w:sz w:val="20"/>
        </w:rPr>
        <w:t xml:space="preserve">Vid inköp av ny utrustning, nya produkter eller vid införande av nya metoder beakta arbetsmiljöaspekten. </w:t>
      </w:r>
    </w:p>
    <w:p w:rsidR="001D5D9B" w:rsidRPr="009D20A3" w:rsidRDefault="001D5D9B" w:rsidP="009D20A3">
      <w:pPr>
        <w:pStyle w:val="Brdtext"/>
        <w:rPr>
          <w:rFonts w:cs="Arial"/>
          <w:sz w:val="20"/>
        </w:rPr>
      </w:pPr>
    </w:p>
    <w:p w:rsidR="00450DC6" w:rsidRPr="009D20A3" w:rsidRDefault="0079085A" w:rsidP="008807C6">
      <w:pPr>
        <w:pStyle w:val="Brdtext"/>
        <w:numPr>
          <w:ilvl w:val="0"/>
          <w:numId w:val="4"/>
        </w:numPr>
        <w:rPr>
          <w:rFonts w:cs="Arial"/>
          <w:sz w:val="20"/>
        </w:rPr>
      </w:pPr>
      <w:r w:rsidRPr="009D20A3">
        <w:rPr>
          <w:rFonts w:cs="Arial"/>
          <w:sz w:val="20"/>
        </w:rPr>
        <w:t>Se till</w:t>
      </w:r>
      <w:r w:rsidR="00450DC6" w:rsidRPr="009D20A3">
        <w:rPr>
          <w:rFonts w:cs="Arial"/>
          <w:sz w:val="20"/>
        </w:rPr>
        <w:t xml:space="preserve"> att </w:t>
      </w:r>
      <w:r w:rsidR="00093DB7" w:rsidRPr="009D20A3">
        <w:rPr>
          <w:rFonts w:cs="Arial"/>
          <w:sz w:val="20"/>
        </w:rPr>
        <w:t>medarbetarna</w:t>
      </w:r>
      <w:r w:rsidR="00450DC6" w:rsidRPr="009D20A3">
        <w:rPr>
          <w:rFonts w:cs="Arial"/>
          <w:sz w:val="20"/>
        </w:rPr>
        <w:t>, och särskilt nyanställda och minderåriga, får fortlöpande instruktioner om arbetsmetoder, utrustning, kemiska hälsorisker och övriga arbetsmiljöhänsyn till förebyggande av ohälsa och olycksfall.  Momentet skall ingå i introduktionen till all personal.</w:t>
      </w:r>
    </w:p>
    <w:p w:rsidR="00450DC6" w:rsidRPr="009D20A3" w:rsidRDefault="00450DC6" w:rsidP="009D20A3">
      <w:pPr>
        <w:pStyle w:val="Brdtext"/>
        <w:rPr>
          <w:rFonts w:cs="Arial"/>
          <w:sz w:val="20"/>
        </w:rPr>
      </w:pPr>
    </w:p>
    <w:p w:rsidR="00093DB7" w:rsidRPr="009D20A3" w:rsidRDefault="00093DB7" w:rsidP="008807C6">
      <w:pPr>
        <w:pStyle w:val="Brdtext"/>
        <w:numPr>
          <w:ilvl w:val="0"/>
          <w:numId w:val="4"/>
        </w:numPr>
        <w:rPr>
          <w:rFonts w:cs="Arial"/>
          <w:sz w:val="20"/>
        </w:rPr>
      </w:pPr>
      <w:r w:rsidRPr="009D20A3">
        <w:rPr>
          <w:rFonts w:cs="Arial"/>
          <w:sz w:val="20"/>
        </w:rPr>
        <w:t>Se till att hantera kemiska arbetsmiljörisker i enlighet med gällande arbetsmiljölagstiftning och kommunens interna rutiner.</w:t>
      </w:r>
    </w:p>
    <w:p w:rsidR="00093DB7" w:rsidRPr="009D20A3" w:rsidRDefault="00093DB7" w:rsidP="009D20A3">
      <w:pPr>
        <w:pStyle w:val="Brdtext"/>
        <w:rPr>
          <w:rFonts w:cs="Arial"/>
          <w:sz w:val="20"/>
        </w:rPr>
      </w:pPr>
    </w:p>
    <w:p w:rsidR="00D86052" w:rsidRPr="009D20A3" w:rsidRDefault="00D86052" w:rsidP="008807C6">
      <w:pPr>
        <w:pStyle w:val="Brdtext"/>
        <w:numPr>
          <w:ilvl w:val="0"/>
          <w:numId w:val="4"/>
        </w:numPr>
        <w:rPr>
          <w:rFonts w:cs="Arial"/>
          <w:sz w:val="20"/>
        </w:rPr>
      </w:pPr>
      <w:r w:rsidRPr="009D20A3">
        <w:rPr>
          <w:rFonts w:cs="Arial"/>
          <w:sz w:val="20"/>
        </w:rPr>
        <w:t>Se till att utrustning för första hjälpen, personlig skyddsutrustning och annan brandskydds- och säkerhetsutrustning finns tillgänglig.</w:t>
      </w:r>
    </w:p>
    <w:p w:rsidR="00D86052" w:rsidRPr="009D20A3" w:rsidRDefault="00D86052" w:rsidP="009D20A3">
      <w:pPr>
        <w:pStyle w:val="Brdtext"/>
        <w:rPr>
          <w:rFonts w:cs="Arial"/>
          <w:sz w:val="20"/>
        </w:rPr>
      </w:pPr>
    </w:p>
    <w:p w:rsidR="00450DC6" w:rsidRPr="009D20A3" w:rsidRDefault="00450DC6" w:rsidP="008807C6">
      <w:pPr>
        <w:pStyle w:val="Brdtext"/>
        <w:numPr>
          <w:ilvl w:val="0"/>
          <w:numId w:val="4"/>
        </w:numPr>
        <w:rPr>
          <w:rFonts w:cs="Arial"/>
          <w:sz w:val="20"/>
        </w:rPr>
      </w:pPr>
      <w:r w:rsidRPr="009D20A3">
        <w:rPr>
          <w:rFonts w:cs="Arial"/>
          <w:sz w:val="20"/>
        </w:rPr>
        <w:lastRenderedPageBreak/>
        <w:t>Kontrollera att befintliga hjälpmedel används</w:t>
      </w:r>
      <w:r w:rsidR="00854445" w:rsidRPr="009D20A3">
        <w:rPr>
          <w:rFonts w:cs="Arial"/>
          <w:sz w:val="20"/>
        </w:rPr>
        <w:t xml:space="preserve"> på anvisat sätt</w:t>
      </w:r>
      <w:r w:rsidRPr="009D20A3">
        <w:rPr>
          <w:rFonts w:cs="Arial"/>
          <w:sz w:val="20"/>
        </w:rPr>
        <w:t xml:space="preserve"> och</w:t>
      </w:r>
      <w:r w:rsidR="00854445" w:rsidRPr="009D20A3">
        <w:rPr>
          <w:rFonts w:cs="Arial"/>
          <w:sz w:val="20"/>
        </w:rPr>
        <w:t xml:space="preserve"> att</w:t>
      </w:r>
      <w:r w:rsidRPr="009D20A3">
        <w:rPr>
          <w:rFonts w:cs="Arial"/>
          <w:sz w:val="20"/>
        </w:rPr>
        <w:t xml:space="preserve"> personlig skyddsutrustning nyttjas.</w:t>
      </w:r>
    </w:p>
    <w:p w:rsidR="00450DC6" w:rsidRPr="009D20A3" w:rsidRDefault="00450DC6" w:rsidP="009D20A3">
      <w:pPr>
        <w:pStyle w:val="Brdtext"/>
        <w:rPr>
          <w:rFonts w:cs="Arial"/>
          <w:sz w:val="20"/>
        </w:rPr>
      </w:pPr>
    </w:p>
    <w:p w:rsidR="00854445" w:rsidRPr="009D20A3" w:rsidRDefault="00854445" w:rsidP="008807C6">
      <w:pPr>
        <w:pStyle w:val="Brdtext"/>
        <w:numPr>
          <w:ilvl w:val="0"/>
          <w:numId w:val="4"/>
        </w:numPr>
        <w:rPr>
          <w:rFonts w:cs="Arial"/>
          <w:sz w:val="20"/>
        </w:rPr>
      </w:pPr>
      <w:r w:rsidRPr="009D20A3">
        <w:rPr>
          <w:rFonts w:cs="Arial"/>
          <w:sz w:val="20"/>
        </w:rPr>
        <w:t>Se till att medarbetarna rapporterar tillbud och arbetsskador i kommunens arbetsskade- och tillbudsrapporteringssystem och omgående anmäla mycket allvarliga händelser till Arbetsmiljöverket.</w:t>
      </w:r>
    </w:p>
    <w:p w:rsidR="00450DC6" w:rsidRPr="009D20A3" w:rsidRDefault="00450DC6" w:rsidP="009D20A3">
      <w:pPr>
        <w:pStyle w:val="Brdtext"/>
        <w:rPr>
          <w:rFonts w:cs="Arial"/>
          <w:sz w:val="20"/>
        </w:rPr>
      </w:pPr>
    </w:p>
    <w:p w:rsidR="00450DC6" w:rsidRPr="009D20A3" w:rsidRDefault="00854445" w:rsidP="008807C6">
      <w:pPr>
        <w:pStyle w:val="Brdtext"/>
        <w:numPr>
          <w:ilvl w:val="0"/>
          <w:numId w:val="4"/>
        </w:numPr>
        <w:rPr>
          <w:rFonts w:cs="Arial"/>
          <w:sz w:val="20"/>
        </w:rPr>
      </w:pPr>
      <w:r w:rsidRPr="009D20A3">
        <w:rPr>
          <w:rFonts w:cs="Arial"/>
          <w:sz w:val="20"/>
        </w:rPr>
        <w:t>Se till att utr</w:t>
      </w:r>
      <w:r w:rsidR="00E30BC1" w:rsidRPr="009D20A3">
        <w:rPr>
          <w:rFonts w:cs="Arial"/>
          <w:sz w:val="20"/>
        </w:rPr>
        <w:t>e</w:t>
      </w:r>
      <w:r w:rsidRPr="009D20A3">
        <w:rPr>
          <w:rFonts w:cs="Arial"/>
          <w:sz w:val="20"/>
        </w:rPr>
        <w:t xml:space="preserve">dning av ohälsa, olyckor och tillbud genomförs för att förhindra att </w:t>
      </w:r>
      <w:r w:rsidR="00E30BC1" w:rsidRPr="009D20A3">
        <w:rPr>
          <w:rFonts w:cs="Arial"/>
          <w:sz w:val="20"/>
        </w:rPr>
        <w:t xml:space="preserve">dessa </w:t>
      </w:r>
      <w:r w:rsidRPr="009D20A3">
        <w:rPr>
          <w:rFonts w:cs="Arial"/>
          <w:sz w:val="20"/>
        </w:rPr>
        <w:t>upprepas</w:t>
      </w:r>
      <w:r w:rsidR="00E30BC1" w:rsidRPr="009D20A3">
        <w:rPr>
          <w:rFonts w:cs="Arial"/>
          <w:sz w:val="20"/>
        </w:rPr>
        <w:t>.</w:t>
      </w:r>
    </w:p>
    <w:p w:rsidR="00450DC6" w:rsidRPr="009D20A3" w:rsidRDefault="00450DC6" w:rsidP="009D20A3">
      <w:pPr>
        <w:pStyle w:val="Brdtext"/>
        <w:rPr>
          <w:rFonts w:cs="Arial"/>
          <w:sz w:val="20"/>
        </w:rPr>
      </w:pPr>
    </w:p>
    <w:p w:rsidR="00450DC6" w:rsidRPr="009D20A3" w:rsidRDefault="00450DC6" w:rsidP="008807C6">
      <w:pPr>
        <w:pStyle w:val="Brdtext"/>
        <w:numPr>
          <w:ilvl w:val="0"/>
          <w:numId w:val="4"/>
        </w:numPr>
        <w:rPr>
          <w:rFonts w:cs="Arial"/>
          <w:sz w:val="20"/>
        </w:rPr>
      </w:pPr>
      <w:r w:rsidRPr="009D20A3">
        <w:rPr>
          <w:rFonts w:cs="Arial"/>
          <w:sz w:val="20"/>
        </w:rPr>
        <w:t>Aktivt delta i planering av förändringar som har betydelse för arbetsmiljön.</w:t>
      </w:r>
    </w:p>
    <w:p w:rsidR="00450DC6" w:rsidRPr="009D20A3" w:rsidRDefault="00450DC6" w:rsidP="009D20A3">
      <w:pPr>
        <w:pStyle w:val="Brdtext"/>
        <w:rPr>
          <w:rFonts w:cs="Arial"/>
          <w:sz w:val="20"/>
        </w:rPr>
      </w:pPr>
    </w:p>
    <w:p w:rsidR="00450DC6" w:rsidRPr="009D20A3" w:rsidRDefault="00093DB7" w:rsidP="008807C6">
      <w:pPr>
        <w:pStyle w:val="Brdtext"/>
        <w:numPr>
          <w:ilvl w:val="0"/>
          <w:numId w:val="4"/>
        </w:numPr>
        <w:rPr>
          <w:rFonts w:cs="Arial"/>
          <w:sz w:val="20"/>
        </w:rPr>
      </w:pPr>
      <w:r w:rsidRPr="009D20A3">
        <w:rPr>
          <w:rFonts w:cs="Arial"/>
          <w:sz w:val="20"/>
        </w:rPr>
        <w:t>I samband med den årliga uppföljningen av arbetsmiljön och i</w:t>
      </w:r>
      <w:r w:rsidR="00450DC6" w:rsidRPr="009D20A3">
        <w:rPr>
          <w:rFonts w:cs="Arial"/>
          <w:sz w:val="20"/>
        </w:rPr>
        <w:t xml:space="preserve">nför budgetarbetet till </w:t>
      </w:r>
      <w:r w:rsidR="00C727C2" w:rsidRPr="009D20A3">
        <w:rPr>
          <w:rFonts w:cs="Arial"/>
          <w:sz w:val="20"/>
        </w:rPr>
        <w:t>verksamhetschefen/</w:t>
      </w:r>
      <w:r w:rsidR="00450DC6" w:rsidRPr="009D20A3">
        <w:rPr>
          <w:rFonts w:cs="Arial"/>
          <w:sz w:val="20"/>
        </w:rPr>
        <w:t>förvaltningschefen framföra behov av arbetsmiljöinvesteringar</w:t>
      </w:r>
      <w:r w:rsidR="00E30BC1" w:rsidRPr="009D20A3">
        <w:rPr>
          <w:rFonts w:cs="Arial"/>
          <w:sz w:val="20"/>
        </w:rPr>
        <w:t>.</w:t>
      </w:r>
    </w:p>
    <w:p w:rsidR="00450DC6" w:rsidRPr="009D20A3" w:rsidRDefault="00450DC6" w:rsidP="009D20A3">
      <w:pPr>
        <w:pStyle w:val="Brdtext"/>
        <w:rPr>
          <w:rFonts w:cs="Arial"/>
          <w:sz w:val="20"/>
        </w:rPr>
      </w:pPr>
    </w:p>
    <w:p w:rsidR="00450DC6" w:rsidRPr="009D20A3" w:rsidRDefault="00093DB7" w:rsidP="008807C6">
      <w:pPr>
        <w:pStyle w:val="Brdtext"/>
        <w:numPr>
          <w:ilvl w:val="0"/>
          <w:numId w:val="4"/>
        </w:numPr>
        <w:rPr>
          <w:rFonts w:cs="Arial"/>
          <w:sz w:val="20"/>
        </w:rPr>
      </w:pPr>
      <w:r w:rsidRPr="009D20A3">
        <w:rPr>
          <w:rFonts w:cs="Arial"/>
          <w:sz w:val="20"/>
        </w:rPr>
        <w:t xml:space="preserve">Se till att medarbetarens rehabiliteringsbehov klarläggs och att arbetslivsinriktade rehabiliteringsåtgärder vidtas i enlighet med </w:t>
      </w:r>
      <w:r w:rsidR="00E30BC1" w:rsidRPr="009D20A3">
        <w:rPr>
          <w:rFonts w:cs="Arial"/>
          <w:sz w:val="20"/>
        </w:rPr>
        <w:t>kommunens gemensamma anvisningar för rehabiliterin</w:t>
      </w:r>
      <w:r w:rsidRPr="009D20A3">
        <w:rPr>
          <w:rFonts w:cs="Arial"/>
          <w:sz w:val="20"/>
        </w:rPr>
        <w:t>g och återgång vid sjukfrånvaro.</w:t>
      </w:r>
    </w:p>
    <w:p w:rsidR="00450DC6" w:rsidRPr="009D20A3" w:rsidRDefault="00450DC6" w:rsidP="009D20A3">
      <w:pPr>
        <w:pStyle w:val="Brdtext"/>
        <w:rPr>
          <w:rFonts w:cs="Arial"/>
          <w:sz w:val="20"/>
        </w:rPr>
      </w:pPr>
    </w:p>
    <w:p w:rsidR="00450DC6" w:rsidRPr="009D20A3" w:rsidRDefault="00450DC6" w:rsidP="008807C6">
      <w:pPr>
        <w:pStyle w:val="Brdtext"/>
        <w:numPr>
          <w:ilvl w:val="0"/>
          <w:numId w:val="4"/>
        </w:numPr>
        <w:rPr>
          <w:rFonts w:cs="Arial"/>
          <w:sz w:val="20"/>
        </w:rPr>
      </w:pPr>
      <w:r w:rsidRPr="009D20A3">
        <w:rPr>
          <w:rFonts w:cs="Arial"/>
          <w:sz w:val="20"/>
        </w:rPr>
        <w:t>Retur</w:t>
      </w:r>
      <w:bookmarkStart w:id="2" w:name="_Hlt117665928"/>
      <w:r w:rsidRPr="009D20A3">
        <w:rPr>
          <w:rFonts w:cs="Arial"/>
          <w:sz w:val="20"/>
        </w:rPr>
        <w:t>n</w:t>
      </w:r>
      <w:bookmarkEnd w:id="2"/>
      <w:r w:rsidR="00D86052" w:rsidRPr="009D20A3">
        <w:rPr>
          <w:rFonts w:cs="Arial"/>
          <w:sz w:val="20"/>
        </w:rPr>
        <w:t>era varje arbetsmiljöuppgift</w:t>
      </w:r>
      <w:r w:rsidRPr="009D20A3">
        <w:rPr>
          <w:rFonts w:cs="Arial"/>
          <w:sz w:val="20"/>
        </w:rPr>
        <w:t xml:space="preserve"> </w:t>
      </w:r>
      <w:r w:rsidR="00D86052" w:rsidRPr="009D20A3">
        <w:rPr>
          <w:rFonts w:cs="Arial"/>
          <w:sz w:val="20"/>
        </w:rPr>
        <w:t>där</w:t>
      </w:r>
      <w:r w:rsidRPr="009D20A3">
        <w:rPr>
          <w:rFonts w:cs="Arial"/>
          <w:sz w:val="20"/>
        </w:rPr>
        <w:t xml:space="preserve"> </w:t>
      </w:r>
      <w:r w:rsidR="00D86052" w:rsidRPr="009D20A3">
        <w:rPr>
          <w:rFonts w:cs="Arial"/>
          <w:sz w:val="20"/>
        </w:rPr>
        <w:t xml:space="preserve">du som enhetschef eller motsvarande upplever dig sakna </w:t>
      </w:r>
      <w:r w:rsidRPr="009D20A3">
        <w:rPr>
          <w:rFonts w:cs="Arial"/>
          <w:sz w:val="20"/>
        </w:rPr>
        <w:t>befogenhet</w:t>
      </w:r>
      <w:r w:rsidR="00D86052" w:rsidRPr="009D20A3">
        <w:rPr>
          <w:rFonts w:cs="Arial"/>
          <w:sz w:val="20"/>
        </w:rPr>
        <w:t xml:space="preserve">, kompetens </w:t>
      </w:r>
      <w:r w:rsidR="00E30BC1" w:rsidRPr="009D20A3">
        <w:rPr>
          <w:rFonts w:cs="Arial"/>
          <w:sz w:val="20"/>
        </w:rPr>
        <w:t>eller resurser</w:t>
      </w:r>
      <w:r w:rsidRPr="009D20A3">
        <w:rPr>
          <w:rFonts w:cs="Arial"/>
          <w:sz w:val="20"/>
        </w:rPr>
        <w:t xml:space="preserve"> till </w:t>
      </w:r>
      <w:r w:rsidR="00D86052" w:rsidRPr="009D20A3">
        <w:rPr>
          <w:rFonts w:cs="Arial"/>
          <w:sz w:val="20"/>
        </w:rPr>
        <w:t>den chef som har fördelat uppgiften till dig.</w:t>
      </w:r>
    </w:p>
    <w:p w:rsidR="00450DC6" w:rsidRPr="009D20A3" w:rsidRDefault="00450DC6" w:rsidP="009D20A3">
      <w:pPr>
        <w:pStyle w:val="Brdtext"/>
        <w:rPr>
          <w:rFonts w:cs="Arial"/>
          <w:sz w:val="20"/>
        </w:rPr>
      </w:pPr>
    </w:p>
    <w:p w:rsidR="00450DC6" w:rsidRPr="009D20A3" w:rsidRDefault="00450DC6" w:rsidP="008807C6">
      <w:pPr>
        <w:pStyle w:val="Brdtext"/>
        <w:numPr>
          <w:ilvl w:val="0"/>
          <w:numId w:val="4"/>
        </w:numPr>
        <w:rPr>
          <w:rFonts w:cs="Arial"/>
          <w:sz w:val="20"/>
        </w:rPr>
      </w:pPr>
      <w:r w:rsidRPr="009D20A3">
        <w:rPr>
          <w:rFonts w:cs="Arial"/>
          <w:sz w:val="20"/>
        </w:rPr>
        <w:t xml:space="preserve">Vid längre tids frånvaro meddela </w:t>
      </w:r>
      <w:r w:rsidR="00C727C2" w:rsidRPr="009D20A3">
        <w:rPr>
          <w:rFonts w:cs="Arial"/>
          <w:sz w:val="20"/>
        </w:rPr>
        <w:t>verksamhetschefen/</w:t>
      </w:r>
      <w:r w:rsidRPr="009D20A3">
        <w:rPr>
          <w:rFonts w:cs="Arial"/>
          <w:sz w:val="20"/>
        </w:rPr>
        <w:t>förvaltningschefen och komma överens om ersättare som kan agera i akuta frågor.</w:t>
      </w:r>
    </w:p>
    <w:p w:rsidR="00450DC6" w:rsidRDefault="00450DC6" w:rsidP="00A13730">
      <w:pPr>
        <w:rPr>
          <w:rFonts w:ascii="Arial" w:hAnsi="Arial" w:cs="Arial"/>
        </w:rPr>
      </w:pPr>
    </w:p>
    <w:p w:rsidR="008807C6" w:rsidRDefault="008807C6" w:rsidP="00A13730">
      <w:pPr>
        <w:rPr>
          <w:rFonts w:ascii="Arial" w:hAnsi="Arial" w:cs="Arial"/>
        </w:rPr>
      </w:pPr>
    </w:p>
    <w:p w:rsidR="008807C6" w:rsidRDefault="008807C6" w:rsidP="00A13730">
      <w:pPr>
        <w:rPr>
          <w:rFonts w:ascii="Arial" w:hAnsi="Arial" w:cs="Arial"/>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4753"/>
      </w:tblGrid>
      <w:tr w:rsidR="008807C6" w:rsidRPr="003857D9" w:rsidTr="008807C6">
        <w:trPr>
          <w:cantSplit/>
        </w:trPr>
        <w:tc>
          <w:tcPr>
            <w:tcW w:w="5103" w:type="dxa"/>
            <w:tcBorders>
              <w:top w:val="nil"/>
              <w:left w:val="nil"/>
              <w:right w:val="nil"/>
            </w:tcBorders>
          </w:tcPr>
          <w:p w:rsidR="008807C6" w:rsidRPr="003857D9" w:rsidRDefault="008807C6" w:rsidP="000D1B2A">
            <w:pPr>
              <w:rPr>
                <w:rFonts w:ascii="Arial" w:hAnsi="Arial"/>
                <w:sz w:val="20"/>
                <w:szCs w:val="20"/>
              </w:rPr>
            </w:pPr>
            <w:r>
              <w:rPr>
                <w:rFonts w:ascii="Arial" w:hAnsi="Arial"/>
                <w:b/>
                <w:sz w:val="20"/>
                <w:szCs w:val="20"/>
              </w:rPr>
              <w:t>Underskrift</w:t>
            </w:r>
          </w:p>
        </w:tc>
        <w:tc>
          <w:tcPr>
            <w:tcW w:w="4753" w:type="dxa"/>
            <w:tcBorders>
              <w:top w:val="nil"/>
              <w:left w:val="nil"/>
              <w:bottom w:val="nil"/>
              <w:right w:val="nil"/>
            </w:tcBorders>
          </w:tcPr>
          <w:p w:rsidR="008807C6" w:rsidRPr="003857D9" w:rsidRDefault="008807C6" w:rsidP="000D1B2A">
            <w:pPr>
              <w:rPr>
                <w:rFonts w:ascii="Arial" w:hAnsi="Arial"/>
                <w:sz w:val="20"/>
                <w:szCs w:val="20"/>
              </w:rPr>
            </w:pPr>
          </w:p>
        </w:tc>
      </w:tr>
      <w:tr w:rsidR="008807C6" w:rsidRPr="003857D9" w:rsidTr="008807C6">
        <w:trPr>
          <w:trHeight w:hRule="exact" w:val="454"/>
        </w:trPr>
        <w:tc>
          <w:tcPr>
            <w:tcW w:w="5103" w:type="dxa"/>
          </w:tcPr>
          <w:p w:rsidR="008807C6" w:rsidRPr="003857D9" w:rsidRDefault="008807C6" w:rsidP="000D1B2A">
            <w:pPr>
              <w:rPr>
                <w:rFonts w:ascii="Arial" w:hAnsi="Arial"/>
                <w:sz w:val="20"/>
                <w:szCs w:val="20"/>
              </w:rPr>
            </w:pPr>
            <w:r w:rsidRPr="003857D9">
              <w:rPr>
                <w:rFonts w:ascii="Arial" w:hAnsi="Arial"/>
                <w:sz w:val="14"/>
                <w:szCs w:val="20"/>
              </w:rPr>
              <w:t>Ort och datum</w:t>
            </w:r>
          </w:p>
          <w:p w:rsidR="008807C6" w:rsidRPr="003857D9" w:rsidRDefault="008807C6" w:rsidP="000D1B2A">
            <w:pPr>
              <w:rPr>
                <w:rFonts w:ascii="Arial" w:hAnsi="Arial"/>
                <w:sz w:val="20"/>
                <w:szCs w:val="20"/>
              </w:rPr>
            </w:pPr>
            <w:r w:rsidRPr="003857D9">
              <w:rPr>
                <w:rFonts w:ascii="Arial" w:hAnsi="Arial"/>
                <w:sz w:val="20"/>
                <w:szCs w:val="20"/>
              </w:rPr>
              <w:fldChar w:fldCharType="begin">
                <w:ffData>
                  <w:name w:val="Text16"/>
                  <w:enabled/>
                  <w:calcOnExit w:val="0"/>
                  <w:textInput/>
                </w:ffData>
              </w:fldChar>
            </w:r>
            <w:bookmarkStart w:id="3" w:name="Text16"/>
            <w:r w:rsidRPr="003857D9">
              <w:rPr>
                <w:rFonts w:ascii="Arial" w:hAnsi="Arial"/>
                <w:sz w:val="20"/>
                <w:szCs w:val="20"/>
              </w:rPr>
              <w:instrText xml:space="preserve"> FORMTEXT </w:instrText>
            </w:r>
            <w:r w:rsidRPr="003857D9">
              <w:rPr>
                <w:rFonts w:ascii="Arial" w:hAnsi="Arial"/>
                <w:sz w:val="20"/>
                <w:szCs w:val="20"/>
              </w:rPr>
            </w:r>
            <w:r w:rsidRPr="003857D9">
              <w:rPr>
                <w:rFonts w:ascii="Arial" w:hAnsi="Arial"/>
                <w:sz w:val="20"/>
                <w:szCs w:val="20"/>
              </w:rPr>
              <w:fldChar w:fldCharType="separate"/>
            </w:r>
            <w:r w:rsidRPr="003857D9">
              <w:rPr>
                <w:rFonts w:ascii="Arial" w:hAnsi="Arial"/>
                <w:noProof/>
                <w:sz w:val="20"/>
                <w:szCs w:val="20"/>
              </w:rPr>
              <w:t> </w:t>
            </w:r>
            <w:r w:rsidRPr="003857D9">
              <w:rPr>
                <w:rFonts w:ascii="Arial" w:hAnsi="Arial"/>
                <w:noProof/>
                <w:sz w:val="20"/>
                <w:szCs w:val="20"/>
              </w:rPr>
              <w:t> </w:t>
            </w:r>
            <w:r w:rsidRPr="003857D9">
              <w:rPr>
                <w:rFonts w:ascii="Arial" w:hAnsi="Arial"/>
                <w:noProof/>
                <w:sz w:val="20"/>
                <w:szCs w:val="20"/>
              </w:rPr>
              <w:t> </w:t>
            </w:r>
            <w:r w:rsidRPr="003857D9">
              <w:rPr>
                <w:rFonts w:ascii="Arial" w:hAnsi="Arial"/>
                <w:noProof/>
                <w:sz w:val="20"/>
                <w:szCs w:val="20"/>
              </w:rPr>
              <w:t> </w:t>
            </w:r>
            <w:r w:rsidRPr="003857D9">
              <w:rPr>
                <w:rFonts w:ascii="Arial" w:hAnsi="Arial"/>
                <w:noProof/>
                <w:sz w:val="20"/>
                <w:szCs w:val="20"/>
              </w:rPr>
              <w:t> </w:t>
            </w:r>
            <w:r w:rsidRPr="003857D9">
              <w:rPr>
                <w:rFonts w:ascii="Arial" w:hAnsi="Arial"/>
                <w:sz w:val="20"/>
                <w:szCs w:val="20"/>
              </w:rPr>
              <w:fldChar w:fldCharType="end"/>
            </w:r>
            <w:bookmarkEnd w:id="3"/>
          </w:p>
        </w:tc>
        <w:tc>
          <w:tcPr>
            <w:tcW w:w="4753" w:type="dxa"/>
            <w:tcBorders>
              <w:top w:val="nil"/>
              <w:right w:val="nil"/>
            </w:tcBorders>
          </w:tcPr>
          <w:p w:rsidR="008807C6" w:rsidRPr="003857D9" w:rsidRDefault="008807C6" w:rsidP="000D1B2A">
            <w:pPr>
              <w:rPr>
                <w:rFonts w:ascii="Arial" w:hAnsi="Arial"/>
                <w:sz w:val="20"/>
                <w:szCs w:val="20"/>
              </w:rPr>
            </w:pPr>
          </w:p>
        </w:tc>
      </w:tr>
      <w:tr w:rsidR="008807C6" w:rsidRPr="003857D9" w:rsidTr="008807C6">
        <w:trPr>
          <w:trHeight w:hRule="exact" w:val="1134"/>
        </w:trPr>
        <w:tc>
          <w:tcPr>
            <w:tcW w:w="5103" w:type="dxa"/>
          </w:tcPr>
          <w:p w:rsidR="008807C6" w:rsidRPr="003857D9" w:rsidRDefault="008807C6" w:rsidP="000D1B2A">
            <w:pPr>
              <w:rPr>
                <w:rFonts w:ascii="Arial" w:hAnsi="Arial"/>
                <w:sz w:val="14"/>
                <w:szCs w:val="20"/>
              </w:rPr>
            </w:pPr>
            <w:r w:rsidRPr="008807C6">
              <w:rPr>
                <w:rFonts w:ascii="Arial" w:hAnsi="Arial"/>
                <w:sz w:val="14"/>
                <w:szCs w:val="20"/>
              </w:rPr>
              <w:t>Verksamhetschef/förvaltningschef</w:t>
            </w:r>
          </w:p>
        </w:tc>
        <w:tc>
          <w:tcPr>
            <w:tcW w:w="4753" w:type="dxa"/>
            <w:tcBorders>
              <w:bottom w:val="single" w:sz="4" w:space="0" w:color="auto"/>
            </w:tcBorders>
          </w:tcPr>
          <w:p w:rsidR="008807C6" w:rsidRPr="008807C6" w:rsidRDefault="008807C6" w:rsidP="000D1B2A">
            <w:pPr>
              <w:rPr>
                <w:rFonts w:ascii="Arial" w:hAnsi="Arial"/>
                <w:sz w:val="14"/>
                <w:szCs w:val="20"/>
              </w:rPr>
            </w:pPr>
            <w:r w:rsidRPr="008807C6">
              <w:rPr>
                <w:rFonts w:ascii="Arial" w:hAnsi="Arial"/>
                <w:sz w:val="14"/>
                <w:szCs w:val="20"/>
              </w:rPr>
              <w:t xml:space="preserve">Enhetschef </w:t>
            </w:r>
          </w:p>
        </w:tc>
      </w:tr>
      <w:tr w:rsidR="008807C6" w:rsidRPr="003857D9" w:rsidTr="008807C6">
        <w:trPr>
          <w:trHeight w:hRule="exact" w:val="454"/>
        </w:trPr>
        <w:tc>
          <w:tcPr>
            <w:tcW w:w="5103" w:type="dxa"/>
          </w:tcPr>
          <w:p w:rsidR="008807C6" w:rsidRDefault="008807C6" w:rsidP="000D1B2A">
            <w:pPr>
              <w:rPr>
                <w:rFonts w:ascii="Arial" w:hAnsi="Arial"/>
                <w:sz w:val="14"/>
                <w:szCs w:val="20"/>
              </w:rPr>
            </w:pPr>
            <w:r>
              <w:rPr>
                <w:rFonts w:ascii="Arial" w:hAnsi="Arial"/>
                <w:sz w:val="14"/>
                <w:szCs w:val="20"/>
              </w:rPr>
              <w:t>Namnförtydligande</w:t>
            </w:r>
          </w:p>
          <w:p w:rsidR="008807C6" w:rsidRPr="003857D9" w:rsidRDefault="008807C6" w:rsidP="000D1B2A">
            <w:pPr>
              <w:rPr>
                <w:rFonts w:ascii="Arial" w:hAnsi="Arial"/>
                <w:sz w:val="14"/>
                <w:szCs w:val="20"/>
              </w:rPr>
            </w:pPr>
            <w:r w:rsidRPr="003857D9">
              <w:rPr>
                <w:rFonts w:ascii="Arial" w:hAnsi="Arial"/>
                <w:sz w:val="20"/>
                <w:szCs w:val="20"/>
              </w:rPr>
              <w:fldChar w:fldCharType="begin">
                <w:ffData>
                  <w:name w:val="Text16"/>
                  <w:enabled/>
                  <w:calcOnExit w:val="0"/>
                  <w:textInput/>
                </w:ffData>
              </w:fldChar>
            </w:r>
            <w:r w:rsidRPr="003857D9">
              <w:rPr>
                <w:rFonts w:ascii="Arial" w:hAnsi="Arial"/>
                <w:sz w:val="20"/>
                <w:szCs w:val="20"/>
              </w:rPr>
              <w:instrText xml:space="preserve"> FORMTEXT </w:instrText>
            </w:r>
            <w:r w:rsidRPr="003857D9">
              <w:rPr>
                <w:rFonts w:ascii="Arial" w:hAnsi="Arial"/>
                <w:sz w:val="20"/>
                <w:szCs w:val="20"/>
              </w:rPr>
            </w:r>
            <w:r w:rsidRPr="003857D9">
              <w:rPr>
                <w:rFonts w:ascii="Arial" w:hAnsi="Arial"/>
                <w:sz w:val="20"/>
                <w:szCs w:val="20"/>
              </w:rPr>
              <w:fldChar w:fldCharType="separate"/>
            </w:r>
            <w:r w:rsidRPr="003857D9">
              <w:rPr>
                <w:rFonts w:ascii="Arial" w:hAnsi="Arial"/>
                <w:noProof/>
                <w:sz w:val="20"/>
                <w:szCs w:val="20"/>
              </w:rPr>
              <w:t> </w:t>
            </w:r>
            <w:r w:rsidRPr="003857D9">
              <w:rPr>
                <w:rFonts w:ascii="Arial" w:hAnsi="Arial"/>
                <w:noProof/>
                <w:sz w:val="20"/>
                <w:szCs w:val="20"/>
              </w:rPr>
              <w:t> </w:t>
            </w:r>
            <w:r w:rsidRPr="003857D9">
              <w:rPr>
                <w:rFonts w:ascii="Arial" w:hAnsi="Arial"/>
                <w:noProof/>
                <w:sz w:val="20"/>
                <w:szCs w:val="20"/>
              </w:rPr>
              <w:t> </w:t>
            </w:r>
            <w:r w:rsidRPr="003857D9">
              <w:rPr>
                <w:rFonts w:ascii="Arial" w:hAnsi="Arial"/>
                <w:noProof/>
                <w:sz w:val="20"/>
                <w:szCs w:val="20"/>
              </w:rPr>
              <w:t> </w:t>
            </w:r>
            <w:r w:rsidRPr="003857D9">
              <w:rPr>
                <w:rFonts w:ascii="Arial" w:hAnsi="Arial"/>
                <w:noProof/>
                <w:sz w:val="20"/>
                <w:szCs w:val="20"/>
              </w:rPr>
              <w:t> </w:t>
            </w:r>
            <w:r w:rsidRPr="003857D9">
              <w:rPr>
                <w:rFonts w:ascii="Arial" w:hAnsi="Arial"/>
                <w:sz w:val="20"/>
                <w:szCs w:val="20"/>
              </w:rPr>
              <w:fldChar w:fldCharType="end"/>
            </w:r>
          </w:p>
        </w:tc>
        <w:tc>
          <w:tcPr>
            <w:tcW w:w="4753" w:type="dxa"/>
            <w:tcBorders>
              <w:bottom w:val="single" w:sz="4" w:space="0" w:color="auto"/>
              <w:right w:val="single" w:sz="4" w:space="0" w:color="auto"/>
            </w:tcBorders>
          </w:tcPr>
          <w:p w:rsidR="008807C6" w:rsidRDefault="008807C6" w:rsidP="008807C6">
            <w:pPr>
              <w:rPr>
                <w:rFonts w:ascii="Arial" w:hAnsi="Arial"/>
                <w:sz w:val="14"/>
                <w:szCs w:val="20"/>
              </w:rPr>
            </w:pPr>
            <w:r>
              <w:rPr>
                <w:rFonts w:ascii="Arial" w:hAnsi="Arial"/>
                <w:sz w:val="14"/>
                <w:szCs w:val="20"/>
              </w:rPr>
              <w:t>Namnförtydligande</w:t>
            </w:r>
          </w:p>
          <w:p w:rsidR="008807C6" w:rsidRPr="003857D9" w:rsidRDefault="008807C6" w:rsidP="008807C6">
            <w:pPr>
              <w:rPr>
                <w:rFonts w:ascii="Arial" w:hAnsi="Arial"/>
                <w:sz w:val="14"/>
                <w:szCs w:val="20"/>
              </w:rPr>
            </w:pPr>
            <w:r w:rsidRPr="003857D9">
              <w:rPr>
                <w:rFonts w:ascii="Arial" w:hAnsi="Arial"/>
                <w:sz w:val="20"/>
                <w:szCs w:val="20"/>
              </w:rPr>
              <w:fldChar w:fldCharType="begin">
                <w:ffData>
                  <w:name w:val="Text16"/>
                  <w:enabled/>
                  <w:calcOnExit w:val="0"/>
                  <w:textInput/>
                </w:ffData>
              </w:fldChar>
            </w:r>
            <w:r w:rsidRPr="003857D9">
              <w:rPr>
                <w:rFonts w:ascii="Arial" w:hAnsi="Arial"/>
                <w:sz w:val="20"/>
                <w:szCs w:val="20"/>
              </w:rPr>
              <w:instrText xml:space="preserve"> FORMTEXT </w:instrText>
            </w:r>
            <w:r w:rsidRPr="003857D9">
              <w:rPr>
                <w:rFonts w:ascii="Arial" w:hAnsi="Arial"/>
                <w:sz w:val="20"/>
                <w:szCs w:val="20"/>
              </w:rPr>
            </w:r>
            <w:r w:rsidRPr="003857D9">
              <w:rPr>
                <w:rFonts w:ascii="Arial" w:hAnsi="Arial"/>
                <w:sz w:val="20"/>
                <w:szCs w:val="20"/>
              </w:rPr>
              <w:fldChar w:fldCharType="separate"/>
            </w:r>
            <w:r w:rsidRPr="003857D9">
              <w:rPr>
                <w:rFonts w:ascii="Arial" w:hAnsi="Arial"/>
                <w:noProof/>
                <w:sz w:val="20"/>
                <w:szCs w:val="20"/>
              </w:rPr>
              <w:t> </w:t>
            </w:r>
            <w:r w:rsidRPr="003857D9">
              <w:rPr>
                <w:rFonts w:ascii="Arial" w:hAnsi="Arial"/>
                <w:noProof/>
                <w:sz w:val="20"/>
                <w:szCs w:val="20"/>
              </w:rPr>
              <w:t> </w:t>
            </w:r>
            <w:r w:rsidRPr="003857D9">
              <w:rPr>
                <w:rFonts w:ascii="Arial" w:hAnsi="Arial"/>
                <w:noProof/>
                <w:sz w:val="20"/>
                <w:szCs w:val="20"/>
              </w:rPr>
              <w:t> </w:t>
            </w:r>
            <w:r w:rsidRPr="003857D9">
              <w:rPr>
                <w:rFonts w:ascii="Arial" w:hAnsi="Arial"/>
                <w:noProof/>
                <w:sz w:val="20"/>
                <w:szCs w:val="20"/>
              </w:rPr>
              <w:t> </w:t>
            </w:r>
            <w:r w:rsidRPr="003857D9">
              <w:rPr>
                <w:rFonts w:ascii="Arial" w:hAnsi="Arial"/>
                <w:noProof/>
                <w:sz w:val="20"/>
                <w:szCs w:val="20"/>
              </w:rPr>
              <w:t> </w:t>
            </w:r>
            <w:r w:rsidRPr="003857D9">
              <w:rPr>
                <w:rFonts w:ascii="Arial" w:hAnsi="Arial"/>
                <w:sz w:val="20"/>
                <w:szCs w:val="20"/>
              </w:rPr>
              <w:fldChar w:fldCharType="end"/>
            </w:r>
          </w:p>
        </w:tc>
      </w:tr>
    </w:tbl>
    <w:p w:rsidR="001B1646" w:rsidRPr="00517070" w:rsidRDefault="001B1646" w:rsidP="00A13730">
      <w:pPr>
        <w:rPr>
          <w:rFonts w:ascii="Arial" w:hAnsi="Arial" w:cs="Arial"/>
        </w:rPr>
      </w:pPr>
    </w:p>
    <w:sectPr w:rsidR="001B1646" w:rsidRPr="00517070" w:rsidSect="009D20A3">
      <w:headerReference w:type="default" r:id="rId8"/>
      <w:pgSz w:w="11906" w:h="16838" w:code="9"/>
      <w:pgMar w:top="851" w:right="851" w:bottom="851" w:left="1418"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945" w:rsidRDefault="00165945">
      <w:r>
        <w:separator/>
      </w:r>
    </w:p>
  </w:endnote>
  <w:endnote w:type="continuationSeparator" w:id="0">
    <w:p w:rsidR="00165945" w:rsidRDefault="0016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945" w:rsidRDefault="00165945">
      <w:r>
        <w:separator/>
      </w:r>
    </w:p>
  </w:footnote>
  <w:footnote w:type="continuationSeparator" w:id="0">
    <w:p w:rsidR="00165945" w:rsidRDefault="0016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B82" w:rsidRDefault="00163B82">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541D"/>
    <w:multiLevelType w:val="hybridMultilevel"/>
    <w:tmpl w:val="62408E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5E268D5"/>
    <w:multiLevelType w:val="hybridMultilevel"/>
    <w:tmpl w:val="0492CF1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0EA3C27"/>
    <w:multiLevelType w:val="hybridMultilevel"/>
    <w:tmpl w:val="C8C4929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853168C"/>
    <w:multiLevelType w:val="hybridMultilevel"/>
    <w:tmpl w:val="4EF43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autoHyphenation/>
  <w:hyphenationZone w:val="22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DC6"/>
    <w:rsid w:val="00055190"/>
    <w:rsid w:val="00093DB7"/>
    <w:rsid w:val="000C7C0E"/>
    <w:rsid w:val="00163B82"/>
    <w:rsid w:val="00165945"/>
    <w:rsid w:val="001B1646"/>
    <w:rsid w:val="001C46FA"/>
    <w:rsid w:val="001D5D9B"/>
    <w:rsid w:val="00264DB8"/>
    <w:rsid w:val="003503DF"/>
    <w:rsid w:val="003E70ED"/>
    <w:rsid w:val="00450DC6"/>
    <w:rsid w:val="004520EF"/>
    <w:rsid w:val="00517070"/>
    <w:rsid w:val="00596900"/>
    <w:rsid w:val="005B3CC3"/>
    <w:rsid w:val="006F5F6A"/>
    <w:rsid w:val="007876B8"/>
    <w:rsid w:val="0079085A"/>
    <w:rsid w:val="00854445"/>
    <w:rsid w:val="008807C6"/>
    <w:rsid w:val="008A1B10"/>
    <w:rsid w:val="008B2A34"/>
    <w:rsid w:val="008C002E"/>
    <w:rsid w:val="008D34C5"/>
    <w:rsid w:val="008E2051"/>
    <w:rsid w:val="009D20A3"/>
    <w:rsid w:val="00A13730"/>
    <w:rsid w:val="00B11F57"/>
    <w:rsid w:val="00C727C2"/>
    <w:rsid w:val="00C8082B"/>
    <w:rsid w:val="00C95CB5"/>
    <w:rsid w:val="00CB4663"/>
    <w:rsid w:val="00D36ECE"/>
    <w:rsid w:val="00D465F4"/>
    <w:rsid w:val="00D636C2"/>
    <w:rsid w:val="00D65578"/>
    <w:rsid w:val="00D86052"/>
    <w:rsid w:val="00DD5486"/>
    <w:rsid w:val="00E30BC1"/>
    <w:rsid w:val="00E44EFA"/>
    <w:rsid w:val="00E6028F"/>
    <w:rsid w:val="00E6207C"/>
    <w:rsid w:val="00EE367F"/>
    <w:rsid w:val="00EF0133"/>
    <w:rsid w:val="00F2307B"/>
    <w:rsid w:val="00F51E43"/>
    <w:rsid w:val="00F62435"/>
    <w:rsid w:val="00F84679"/>
    <w:rsid w:val="00F87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DEE455-9181-4A41-8DA5-AD0860DA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DC6"/>
    <w:rPr>
      <w:sz w:val="24"/>
      <w:szCs w:val="24"/>
    </w:rPr>
  </w:style>
  <w:style w:type="paragraph" w:styleId="Rubrik1">
    <w:name w:val="heading 1"/>
    <w:basedOn w:val="Normal"/>
    <w:next w:val="Normal"/>
    <w:qFormat/>
    <w:pPr>
      <w:keepNext/>
      <w:ind w:left="-70"/>
      <w:outlineLvl w:val="0"/>
    </w:pPr>
    <w:rPr>
      <w:b/>
    </w:rPr>
  </w:style>
  <w:style w:type="paragraph" w:styleId="Rubrik2">
    <w:name w:val="heading 2"/>
    <w:basedOn w:val="Normal"/>
    <w:next w:val="Normal"/>
    <w:qFormat/>
    <w:pPr>
      <w:keepNext/>
      <w:jc w:val="right"/>
      <w:outlineLvl w:val="1"/>
    </w:pPr>
    <w:rPr>
      <w:b/>
    </w:rPr>
  </w:style>
  <w:style w:type="paragraph" w:styleId="Rubrik4">
    <w:name w:val="heading 4"/>
    <w:basedOn w:val="Normal"/>
    <w:next w:val="Normal"/>
    <w:qFormat/>
    <w:pPr>
      <w:keepNext/>
      <w:ind w:right="-63"/>
      <w:jc w:val="center"/>
      <w:outlineLvl w:val="3"/>
    </w:pPr>
    <w:rPr>
      <w:b/>
      <w:sz w:val="40"/>
    </w:rPr>
  </w:style>
  <w:style w:type="paragraph" w:styleId="Rubrik5">
    <w:name w:val="heading 5"/>
    <w:basedOn w:val="Normal"/>
    <w:next w:val="Normal"/>
    <w:qFormat/>
    <w:pPr>
      <w:keepNext/>
      <w:jc w:val="center"/>
      <w:outlineLvl w:val="4"/>
    </w:pPr>
    <w:rPr>
      <w:b/>
      <w:i/>
      <w:sz w:val="16"/>
    </w:rPr>
  </w:style>
  <w:style w:type="paragraph" w:styleId="Rubrik6">
    <w:name w:val="heading 6"/>
    <w:basedOn w:val="Normal"/>
    <w:next w:val="Normal"/>
    <w:qFormat/>
    <w:pPr>
      <w:keepNext/>
      <w:jc w:val="right"/>
      <w:outlineLvl w:val="5"/>
    </w:pPr>
    <w:rPr>
      <w:b/>
      <w:u w:val="single"/>
    </w:rPr>
  </w:style>
  <w:style w:type="paragraph" w:styleId="Rubrik7">
    <w:name w:val="heading 7"/>
    <w:basedOn w:val="Normal"/>
    <w:next w:val="Normal"/>
    <w:qFormat/>
    <w:pPr>
      <w:keepNext/>
      <w:jc w:val="right"/>
      <w:outlineLvl w:val="6"/>
    </w:pPr>
    <w:rPr>
      <w:b/>
      <w:sz w:val="22"/>
    </w:rPr>
  </w:style>
  <w:style w:type="paragraph" w:styleId="Rubrik8">
    <w:name w:val="heading 8"/>
    <w:basedOn w:val="Normal"/>
    <w:next w:val="Normal"/>
    <w:qFormat/>
    <w:pPr>
      <w:keepNext/>
      <w:outlineLvl w:val="7"/>
    </w:pPr>
    <w:rPr>
      <w:sz w:val="28"/>
    </w:rPr>
  </w:style>
  <w:style w:type="paragraph" w:styleId="Rubrik9">
    <w:name w:val="heading 9"/>
    <w:basedOn w:val="Normal"/>
    <w:next w:val="Normal"/>
    <w:qFormat/>
    <w:pPr>
      <w:keepNext/>
      <w:jc w:val="center"/>
      <w:outlineLvl w:val="8"/>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character" w:styleId="Hyperlnk">
    <w:name w:val="Hyperlink"/>
    <w:rPr>
      <w:color w:val="0000FF"/>
      <w:u w:val="single"/>
    </w:rPr>
  </w:style>
  <w:style w:type="character" w:styleId="AnvndHyperlnk">
    <w:name w:val="FollowedHyperlink"/>
    <w:rPr>
      <w:color w:val="800080"/>
      <w:u w:val="single"/>
    </w:rPr>
  </w:style>
  <w:style w:type="paragraph" w:customStyle="1" w:styleId="Arial14F">
    <w:name w:val="Arial 14F"/>
    <w:basedOn w:val="Normal"/>
    <w:next w:val="Normal"/>
    <w:rsid w:val="001C46FA"/>
    <w:pPr>
      <w:spacing w:before="20"/>
    </w:pPr>
    <w:rPr>
      <w:rFonts w:ascii="Arial" w:hAnsi="Arial"/>
      <w:b/>
      <w:szCs w:val="20"/>
    </w:rPr>
  </w:style>
  <w:style w:type="paragraph" w:customStyle="1" w:styleId="Enhetavdelning">
    <w:name w:val="Enhet/avdelning"/>
    <w:basedOn w:val="Normal"/>
    <w:rsid w:val="001C46FA"/>
    <w:pPr>
      <w:spacing w:before="40" w:after="80"/>
    </w:pPr>
    <w:rPr>
      <w:rFonts w:ascii="Arial" w:hAnsi="Arial" w:cs="Arial"/>
      <w:sz w:val="20"/>
      <w:szCs w:val="20"/>
    </w:rPr>
  </w:style>
  <w:style w:type="paragraph" w:styleId="Brdtext">
    <w:name w:val="Body Text"/>
    <w:basedOn w:val="Normal"/>
    <w:link w:val="BrdtextChar"/>
    <w:rsid w:val="00517070"/>
    <w:pPr>
      <w:jc w:val="both"/>
    </w:pPr>
    <w:rPr>
      <w:rFonts w:ascii="Arial" w:hAnsi="Arial"/>
      <w:szCs w:val="20"/>
    </w:rPr>
  </w:style>
  <w:style w:type="character" w:customStyle="1" w:styleId="BrdtextChar">
    <w:name w:val="Brödtext Char"/>
    <w:link w:val="Brdtext"/>
    <w:rsid w:val="0051707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699</Words>
  <Characters>3705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Motala kommun</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KLKEJN</dc:creator>
  <cp:keywords/>
  <cp:lastModifiedBy>Jan Rozanski</cp:lastModifiedBy>
  <cp:revision>4</cp:revision>
  <cp:lastPrinted>2001-06-06T09:42:00Z</cp:lastPrinted>
  <dcterms:created xsi:type="dcterms:W3CDTF">2020-08-13T12:00:00Z</dcterms:created>
  <dcterms:modified xsi:type="dcterms:W3CDTF">2020-08-13T12:14:00Z</dcterms:modified>
</cp:coreProperties>
</file>